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89" w:rsidRDefault="007079FB" w:rsidP="007079FB">
      <w:pPr>
        <w:jc w:val="center"/>
        <w:rPr>
          <w:b/>
          <w:sz w:val="40"/>
          <w:szCs w:val="40"/>
          <w:lang w:val="en-US"/>
        </w:rPr>
      </w:pPr>
      <w:r w:rsidRPr="0052107C">
        <w:rPr>
          <w:b/>
          <w:sz w:val="40"/>
          <w:szCs w:val="40"/>
          <w:lang w:val="en-US"/>
        </w:rPr>
        <w:t>NATIONAL ADAPTATION STATUS REPORT</w:t>
      </w:r>
      <w:r w:rsidRPr="0052107C">
        <w:rPr>
          <w:b/>
          <w:sz w:val="40"/>
          <w:szCs w:val="40"/>
          <w:lang w:val="en-US"/>
        </w:rPr>
        <w:br/>
        <w:t>TEMPLATE</w:t>
      </w:r>
      <w:r w:rsidR="00064070">
        <w:rPr>
          <w:b/>
          <w:sz w:val="40"/>
          <w:szCs w:val="40"/>
          <w:lang w:val="en-US"/>
        </w:rPr>
        <w:t xml:space="preserve"> v. 2</w:t>
      </w:r>
      <w:r w:rsidR="0052107C" w:rsidRPr="0052107C">
        <w:rPr>
          <w:b/>
          <w:sz w:val="40"/>
          <w:szCs w:val="40"/>
          <w:lang w:val="en-US"/>
        </w:rPr>
        <w:t>.0</w:t>
      </w:r>
      <w:r w:rsidR="00064070">
        <w:rPr>
          <w:b/>
          <w:sz w:val="40"/>
          <w:szCs w:val="40"/>
          <w:lang w:val="en-US"/>
        </w:rPr>
        <w:t xml:space="preserve"> </w:t>
      </w:r>
    </w:p>
    <w:p w:rsidR="00064070" w:rsidRPr="00064070" w:rsidRDefault="00064070" w:rsidP="007079FB">
      <w:pPr>
        <w:jc w:val="center"/>
        <w:rPr>
          <w:sz w:val="24"/>
          <w:szCs w:val="24"/>
          <w:lang w:val="en-US"/>
        </w:rPr>
      </w:pPr>
      <w:r w:rsidRPr="00064070">
        <w:rPr>
          <w:sz w:val="24"/>
          <w:szCs w:val="24"/>
          <w:lang w:val="en-US"/>
        </w:rPr>
        <w:t>(</w:t>
      </w:r>
      <w:proofErr w:type="gramStart"/>
      <w:r w:rsidRPr="00064070">
        <w:rPr>
          <w:sz w:val="24"/>
          <w:szCs w:val="24"/>
          <w:lang w:val="en-US"/>
        </w:rPr>
        <w:t>based</w:t>
      </w:r>
      <w:proofErr w:type="gramEnd"/>
      <w:r w:rsidRPr="00064070">
        <w:rPr>
          <w:sz w:val="24"/>
          <w:szCs w:val="24"/>
          <w:lang w:val="en-US"/>
        </w:rPr>
        <w:t xml:space="preserve"> on Joint Principles for Adaptation version 2.0)</w:t>
      </w:r>
    </w:p>
    <w:p w:rsidR="007079FB" w:rsidRDefault="007079FB" w:rsidP="007079FB">
      <w:pPr>
        <w:rPr>
          <w:sz w:val="36"/>
          <w:szCs w:val="36"/>
          <w:lang w:val="en-US"/>
        </w:rPr>
      </w:pPr>
    </w:p>
    <w:p w:rsidR="007079FB" w:rsidRDefault="007079FB" w:rsidP="007079F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Introduction and guidance</w:t>
      </w:r>
    </w:p>
    <w:p w:rsidR="007079FB" w:rsidRDefault="007079FB" w:rsidP="007079FB">
      <w:pPr>
        <w:rPr>
          <w:sz w:val="24"/>
          <w:szCs w:val="24"/>
          <w:lang w:val="en-US"/>
        </w:rPr>
      </w:pPr>
      <w:r w:rsidRPr="0052107C">
        <w:rPr>
          <w:b/>
          <w:sz w:val="24"/>
          <w:szCs w:val="24"/>
          <w:lang w:val="en-US"/>
        </w:rPr>
        <w:t>The purpose of the national adaptation status report is to serve as a baseline</w:t>
      </w:r>
      <w:r>
        <w:rPr>
          <w:sz w:val="24"/>
          <w:szCs w:val="24"/>
          <w:lang w:val="en-US"/>
        </w:rPr>
        <w:t xml:space="preserve"> and departing point for initiatives of using the Joint Principles of Adaptation to influence the national adap</w:t>
      </w:r>
      <w:r w:rsidR="0052107C">
        <w:rPr>
          <w:sz w:val="24"/>
          <w:szCs w:val="24"/>
          <w:lang w:val="en-US"/>
        </w:rPr>
        <w:t>tation policies. It is meant to be used by partner networks in the Southern Voices on Adaptation Project. The s</w:t>
      </w:r>
      <w:r>
        <w:rPr>
          <w:sz w:val="24"/>
          <w:szCs w:val="24"/>
          <w:lang w:val="en-US"/>
        </w:rPr>
        <w:t>tatus report is prepared early in the project based on the knowledge and insight of the partner network</w:t>
      </w:r>
      <w:r w:rsidR="0052107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the relevant adaptation policies, legal framework and administrative practices of governments at different levels. </w:t>
      </w:r>
    </w:p>
    <w:p w:rsidR="007079FB" w:rsidRDefault="007079FB" w:rsidP="007079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consist of the following sections:</w:t>
      </w:r>
    </w:p>
    <w:p w:rsidR="007079FB" w:rsidRDefault="007079FB" w:rsidP="00137869">
      <w:pPr>
        <w:pStyle w:val="Listeafsnit"/>
        <w:numPr>
          <w:ilvl w:val="0"/>
          <w:numId w:val="1"/>
        </w:numPr>
        <w:ind w:left="360"/>
        <w:rPr>
          <w:sz w:val="24"/>
          <w:szCs w:val="24"/>
          <w:lang w:val="en-US"/>
        </w:rPr>
      </w:pPr>
      <w:r w:rsidRPr="009B0092">
        <w:rPr>
          <w:b/>
          <w:sz w:val="24"/>
          <w:szCs w:val="24"/>
          <w:lang w:val="en-US"/>
        </w:rPr>
        <w:t>Basic information</w:t>
      </w:r>
      <w:r>
        <w:rPr>
          <w:sz w:val="24"/>
          <w:szCs w:val="24"/>
          <w:lang w:val="en-US"/>
        </w:rPr>
        <w:t xml:space="preserve"> on the network and the preparation</w:t>
      </w:r>
    </w:p>
    <w:p w:rsidR="007079FB" w:rsidRDefault="00523462" w:rsidP="00137869">
      <w:pPr>
        <w:pStyle w:val="Listeafsnit"/>
        <w:numPr>
          <w:ilvl w:val="0"/>
          <w:numId w:val="1"/>
        </w:numPr>
        <w:ind w:left="3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Background: T</w:t>
      </w:r>
      <w:r w:rsidR="007079FB" w:rsidRPr="009B0092">
        <w:rPr>
          <w:b/>
          <w:sz w:val="24"/>
          <w:szCs w:val="24"/>
          <w:lang w:val="en-US"/>
        </w:rPr>
        <w:t xml:space="preserve">he </w:t>
      </w:r>
      <w:r>
        <w:rPr>
          <w:b/>
          <w:sz w:val="24"/>
          <w:szCs w:val="24"/>
          <w:lang w:val="en-US"/>
        </w:rPr>
        <w:t xml:space="preserve">national adaptation policy framework. </w:t>
      </w:r>
      <w:r w:rsidRPr="00523462">
        <w:rPr>
          <w:sz w:val="24"/>
          <w:szCs w:val="24"/>
          <w:lang w:val="en-US"/>
        </w:rPr>
        <w:t>Provide a brief – maximum one page – background on the natio</w:t>
      </w:r>
      <w:r w:rsidR="0052107C">
        <w:rPr>
          <w:sz w:val="24"/>
          <w:szCs w:val="24"/>
          <w:lang w:val="en-US"/>
        </w:rPr>
        <w:t xml:space="preserve">nal adaptation policy framework. The purpose is to identify the most relevant adaptation policies and </w:t>
      </w:r>
      <w:proofErr w:type="spellStart"/>
      <w:r w:rsidR="0052107C">
        <w:rPr>
          <w:sz w:val="24"/>
          <w:szCs w:val="24"/>
          <w:lang w:val="en-US"/>
        </w:rPr>
        <w:t>programmes</w:t>
      </w:r>
      <w:proofErr w:type="spellEnd"/>
      <w:r w:rsidR="0052107C">
        <w:rPr>
          <w:sz w:val="24"/>
          <w:szCs w:val="24"/>
          <w:lang w:val="en-US"/>
        </w:rPr>
        <w:t xml:space="preserve"> at a national level, in order for civil society to focus their efforts of improving and influencing the national adaptation framework in a pro-poor direction.</w:t>
      </w:r>
      <w:r>
        <w:rPr>
          <w:b/>
          <w:sz w:val="24"/>
          <w:szCs w:val="24"/>
          <w:lang w:val="en-US"/>
        </w:rPr>
        <w:t xml:space="preserve"> </w:t>
      </w:r>
      <w:r w:rsidRPr="0052107C">
        <w:rPr>
          <w:sz w:val="24"/>
          <w:szCs w:val="24"/>
          <w:lang w:val="en-US"/>
        </w:rPr>
        <w:t xml:space="preserve"> </w:t>
      </w:r>
      <w:r w:rsidR="0052107C" w:rsidRPr="0052107C">
        <w:rPr>
          <w:sz w:val="24"/>
          <w:szCs w:val="24"/>
          <w:lang w:val="en-US"/>
        </w:rPr>
        <w:t>The background can include policies and issues</w:t>
      </w:r>
      <w:r w:rsidR="0052107C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such as</w:t>
      </w:r>
    </w:p>
    <w:p w:rsidR="007079FB" w:rsidRDefault="007079FB" w:rsidP="00137869">
      <w:pPr>
        <w:pStyle w:val="Listeafsnit"/>
        <w:numPr>
          <w:ilvl w:val="1"/>
          <w:numId w:val="1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Implementation </w:t>
      </w:r>
      <w:r w:rsidR="0052107C">
        <w:rPr>
          <w:sz w:val="24"/>
          <w:szCs w:val="24"/>
          <w:lang w:val="en-US"/>
        </w:rPr>
        <w:t xml:space="preserve">/ funding </w:t>
      </w:r>
      <w:r>
        <w:rPr>
          <w:sz w:val="24"/>
          <w:szCs w:val="24"/>
          <w:lang w:val="en-US"/>
        </w:rPr>
        <w:t>of a NAPA</w:t>
      </w:r>
      <w:r w:rsidR="0052107C">
        <w:rPr>
          <w:sz w:val="24"/>
          <w:szCs w:val="24"/>
          <w:lang w:val="en-US"/>
        </w:rPr>
        <w:t xml:space="preserve"> – national adaptation plan of action</w:t>
      </w:r>
    </w:p>
    <w:p w:rsidR="007079FB" w:rsidRDefault="007079FB" w:rsidP="00137869">
      <w:pPr>
        <w:pStyle w:val="Listeafsnit"/>
        <w:numPr>
          <w:ilvl w:val="1"/>
          <w:numId w:val="1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Adaptation provision</w:t>
      </w:r>
      <w:r w:rsidR="0052107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in a </w:t>
      </w:r>
      <w:r w:rsidR="00CB013F">
        <w:rPr>
          <w:sz w:val="24"/>
          <w:szCs w:val="24"/>
          <w:lang w:val="en-US"/>
        </w:rPr>
        <w:t xml:space="preserve">national </w:t>
      </w:r>
      <w:r>
        <w:rPr>
          <w:sz w:val="24"/>
          <w:szCs w:val="24"/>
          <w:lang w:val="en-US"/>
        </w:rPr>
        <w:t>climate change law</w:t>
      </w:r>
    </w:p>
    <w:p w:rsidR="007079FB" w:rsidRDefault="007079FB" w:rsidP="00137869">
      <w:pPr>
        <w:pStyle w:val="Listeafsnit"/>
        <w:numPr>
          <w:ilvl w:val="1"/>
          <w:numId w:val="1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Adaptation </w:t>
      </w:r>
      <w:r w:rsidR="0052107C">
        <w:rPr>
          <w:sz w:val="24"/>
          <w:szCs w:val="24"/>
          <w:lang w:val="en-US"/>
        </w:rPr>
        <w:t xml:space="preserve">provisions </w:t>
      </w:r>
      <w:r>
        <w:rPr>
          <w:sz w:val="24"/>
          <w:szCs w:val="24"/>
          <w:lang w:val="en-US"/>
        </w:rPr>
        <w:t>in the national budget</w:t>
      </w:r>
    </w:p>
    <w:p w:rsidR="009B0092" w:rsidRDefault="0052107C" w:rsidP="00137869">
      <w:pPr>
        <w:pStyle w:val="Listeafsnit"/>
        <w:numPr>
          <w:ilvl w:val="1"/>
          <w:numId w:val="1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7079FB">
        <w:rPr>
          <w:sz w:val="24"/>
          <w:szCs w:val="24"/>
          <w:lang w:val="en-US"/>
        </w:rPr>
        <w:t>reparation of a NAP</w:t>
      </w:r>
      <w:r>
        <w:rPr>
          <w:sz w:val="24"/>
          <w:szCs w:val="24"/>
          <w:lang w:val="en-US"/>
        </w:rPr>
        <w:t xml:space="preserve"> – a National Adaptation Program</w:t>
      </w:r>
    </w:p>
    <w:p w:rsidR="00A53151" w:rsidRDefault="009B0092" w:rsidP="00137869">
      <w:pPr>
        <w:pStyle w:val="Listeafsnit"/>
        <w:numPr>
          <w:ilvl w:val="1"/>
          <w:numId w:val="1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policies at national level</w:t>
      </w:r>
      <w:r w:rsidR="0052107C">
        <w:rPr>
          <w:sz w:val="24"/>
          <w:szCs w:val="24"/>
          <w:lang w:val="en-US"/>
        </w:rPr>
        <w:t xml:space="preserve"> with relevance for adaptation to climate change</w:t>
      </w:r>
      <w:r>
        <w:rPr>
          <w:sz w:val="24"/>
          <w:szCs w:val="24"/>
          <w:lang w:val="en-US"/>
        </w:rPr>
        <w:t>.</w:t>
      </w:r>
    </w:p>
    <w:p w:rsidR="00A53151" w:rsidRDefault="00A53151" w:rsidP="00137869">
      <w:pPr>
        <w:pStyle w:val="Listeafsnit"/>
        <w:ind w:left="1080"/>
        <w:rPr>
          <w:sz w:val="24"/>
          <w:szCs w:val="24"/>
          <w:lang w:val="en-US"/>
        </w:rPr>
      </w:pPr>
    </w:p>
    <w:p w:rsidR="00A53151" w:rsidRPr="00A53151" w:rsidRDefault="009B0092" w:rsidP="00137869">
      <w:pPr>
        <w:pStyle w:val="Listeafsnit"/>
        <w:numPr>
          <w:ilvl w:val="0"/>
          <w:numId w:val="1"/>
        </w:numPr>
        <w:ind w:left="360"/>
        <w:rPr>
          <w:sz w:val="24"/>
          <w:szCs w:val="24"/>
          <w:lang w:val="en-US"/>
        </w:rPr>
      </w:pPr>
      <w:r w:rsidRPr="00A53151">
        <w:rPr>
          <w:b/>
          <w:sz w:val="24"/>
          <w:szCs w:val="24"/>
          <w:lang w:val="en-US"/>
        </w:rPr>
        <w:t>Status for each of the Joint Principles and their criteria</w:t>
      </w:r>
      <w:r w:rsidRPr="00A53151">
        <w:rPr>
          <w:sz w:val="24"/>
          <w:szCs w:val="24"/>
          <w:lang w:val="en-US"/>
        </w:rPr>
        <w:t xml:space="preserve">: This section contains the bulk of the report, where the network must put the JPA into practice. To operationalize the JPA, the Secretariat has prepared as a guidance the </w:t>
      </w:r>
      <w:r w:rsidRPr="00A53151">
        <w:rPr>
          <w:b/>
          <w:sz w:val="24"/>
          <w:szCs w:val="24"/>
          <w:lang w:val="en-US"/>
        </w:rPr>
        <w:t>JPA Assessment Tool</w:t>
      </w:r>
      <w:r w:rsidRPr="00A53151">
        <w:rPr>
          <w:sz w:val="24"/>
          <w:szCs w:val="24"/>
          <w:lang w:val="en-US"/>
        </w:rPr>
        <w:t xml:space="preserve">. </w:t>
      </w:r>
      <w:r w:rsidR="00487D47" w:rsidRPr="00A53151">
        <w:rPr>
          <w:sz w:val="24"/>
          <w:szCs w:val="24"/>
          <w:lang w:val="en-US"/>
        </w:rPr>
        <w:t xml:space="preserve">For each </w:t>
      </w:r>
      <w:proofErr w:type="gramStart"/>
      <w:r w:rsidR="00487D47" w:rsidRPr="00A53151">
        <w:rPr>
          <w:sz w:val="24"/>
          <w:szCs w:val="24"/>
          <w:lang w:val="en-US"/>
        </w:rPr>
        <w:t>criterion</w:t>
      </w:r>
      <w:proofErr w:type="gramEnd"/>
      <w:r w:rsidR="00487D47" w:rsidRPr="00A53151">
        <w:rPr>
          <w:sz w:val="24"/>
          <w:szCs w:val="24"/>
          <w:lang w:val="en-US"/>
        </w:rPr>
        <w:t xml:space="preserve"> a </w:t>
      </w:r>
      <w:r w:rsidR="00A53151" w:rsidRPr="00A53151">
        <w:rPr>
          <w:sz w:val="24"/>
          <w:szCs w:val="24"/>
          <w:lang w:val="en-US"/>
        </w:rPr>
        <w:t>generic</w:t>
      </w:r>
      <w:r w:rsidR="00A53151">
        <w:rPr>
          <w:sz w:val="24"/>
          <w:szCs w:val="24"/>
          <w:lang w:val="en-US"/>
        </w:rPr>
        <w:t xml:space="preserve"> rating scale between 0 and 3, ranging from 0: - no start made, to 3: substantially achieved. T</w:t>
      </w:r>
      <w:r w:rsidR="00A53151" w:rsidRPr="00A53151">
        <w:rPr>
          <w:sz w:val="24"/>
          <w:szCs w:val="24"/>
          <w:lang w:val="en-US"/>
        </w:rPr>
        <w:t xml:space="preserve">he assessment tool </w:t>
      </w:r>
      <w:r w:rsidR="00A53151" w:rsidRPr="00A53151">
        <w:rPr>
          <w:i/>
          <w:sz w:val="24"/>
          <w:szCs w:val="24"/>
          <w:lang w:val="en-US"/>
        </w:rPr>
        <w:t xml:space="preserve">is not intended to be used in its original form, but rather as a guide for national NGO networks to produce a scorecard adapted for their individual context. </w:t>
      </w:r>
    </w:p>
    <w:p w:rsidR="00A53151" w:rsidRDefault="00A53151" w:rsidP="001378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National Adaptation Status report, is meant to </w:t>
      </w:r>
      <w:r w:rsidR="0085683B">
        <w:rPr>
          <w:sz w:val="24"/>
          <w:szCs w:val="24"/>
          <w:lang w:val="en-US"/>
        </w:rPr>
        <w:t>serve as the baseline</w:t>
      </w:r>
      <w:r>
        <w:rPr>
          <w:sz w:val="24"/>
          <w:szCs w:val="24"/>
          <w:lang w:val="en-US"/>
        </w:rPr>
        <w:t xml:space="preserve"> to measure the progress for the network in its efforts to influence </w:t>
      </w:r>
      <w:r w:rsidR="0085683B">
        <w:rPr>
          <w:sz w:val="24"/>
          <w:szCs w:val="24"/>
          <w:lang w:val="en-US"/>
        </w:rPr>
        <w:t xml:space="preserve">and improve </w:t>
      </w:r>
      <w:r>
        <w:rPr>
          <w:sz w:val="24"/>
          <w:szCs w:val="24"/>
          <w:lang w:val="en-US"/>
        </w:rPr>
        <w:t xml:space="preserve">the national adaptation policy framework by working with the Joint Standards in one of the three modes: through advocacy, dialogue or capacity-building. </w:t>
      </w:r>
      <w:r w:rsidR="0085683B">
        <w:rPr>
          <w:sz w:val="24"/>
          <w:szCs w:val="24"/>
          <w:lang w:val="en-US"/>
        </w:rPr>
        <w:t xml:space="preserve">The baseline can be used to record achievements and progress (or setbacks) during the project and to assess end of project results. </w:t>
      </w:r>
    </w:p>
    <w:p w:rsidR="00A53151" w:rsidRDefault="00A53151" w:rsidP="001378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network </w:t>
      </w:r>
      <w:r w:rsidR="00523462">
        <w:rPr>
          <w:sz w:val="24"/>
          <w:szCs w:val="24"/>
          <w:lang w:val="en-US"/>
        </w:rPr>
        <w:t>is not expected to</w:t>
      </w:r>
      <w:r>
        <w:rPr>
          <w:sz w:val="24"/>
          <w:szCs w:val="24"/>
          <w:lang w:val="en-US"/>
        </w:rPr>
        <w:t xml:space="preserve"> work on all the principles and criteria, but to select a limited number</w:t>
      </w:r>
      <w:r w:rsidR="0052346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which they will use to improve the national adaptation policies. </w:t>
      </w:r>
    </w:p>
    <w:p w:rsidR="002C3828" w:rsidRDefault="002C3828" w:rsidP="00A53151">
      <w:pPr>
        <w:ind w:left="360"/>
        <w:rPr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828" w:rsidRPr="00064070" w:rsidTr="00523462">
        <w:tc>
          <w:tcPr>
            <w:tcW w:w="9628" w:type="dxa"/>
            <w:shd w:val="clear" w:color="auto" w:fill="002060"/>
          </w:tcPr>
          <w:p w:rsidR="002C3828" w:rsidRPr="00137869" w:rsidRDefault="00137869" w:rsidP="00137869">
            <w:pPr>
              <w:pStyle w:val="Listeafsnit"/>
              <w:numPr>
                <w:ilvl w:val="0"/>
                <w:numId w:val="3"/>
              </w:num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37869">
              <w:rPr>
                <w:b/>
                <w:sz w:val="24"/>
                <w:szCs w:val="24"/>
                <w:highlight w:val="black"/>
                <w:lang w:val="en-GB"/>
              </w:rPr>
              <w:t>BASIC INFORMATION ON PREPARATION OF THE REPORT</w:t>
            </w:r>
          </w:p>
        </w:tc>
      </w:tr>
      <w:tr w:rsidR="00523462" w:rsidTr="002C3828">
        <w:tc>
          <w:tcPr>
            <w:tcW w:w="9628" w:type="dxa"/>
          </w:tcPr>
          <w:p w:rsidR="00523462" w:rsidRDefault="00523462" w:rsidP="00F73D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Country: </w:t>
            </w:r>
          </w:p>
        </w:tc>
      </w:tr>
      <w:tr w:rsidR="00137869" w:rsidTr="002C3828">
        <w:tc>
          <w:tcPr>
            <w:tcW w:w="9628" w:type="dxa"/>
          </w:tcPr>
          <w:p w:rsidR="00137869" w:rsidRDefault="00137869" w:rsidP="00F73D63">
            <w:pPr>
              <w:rPr>
                <w:sz w:val="24"/>
                <w:szCs w:val="24"/>
                <w:lang w:val="en-US"/>
              </w:rPr>
            </w:pPr>
          </w:p>
        </w:tc>
      </w:tr>
      <w:tr w:rsidR="002C3828" w:rsidTr="002C3828">
        <w:tc>
          <w:tcPr>
            <w:tcW w:w="9628" w:type="dxa"/>
          </w:tcPr>
          <w:p w:rsidR="002C3828" w:rsidRDefault="00523462" w:rsidP="00F73D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Network:</w:t>
            </w:r>
          </w:p>
        </w:tc>
      </w:tr>
      <w:tr w:rsidR="002C3828" w:rsidTr="002C3828">
        <w:tc>
          <w:tcPr>
            <w:tcW w:w="9628" w:type="dxa"/>
          </w:tcPr>
          <w:p w:rsidR="002C3828" w:rsidRDefault="00523462" w:rsidP="00F73D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person / e-mail:</w:t>
            </w:r>
          </w:p>
        </w:tc>
      </w:tr>
      <w:tr w:rsidR="002C3828" w:rsidRPr="00064070" w:rsidTr="002C3828">
        <w:tc>
          <w:tcPr>
            <w:tcW w:w="9628" w:type="dxa"/>
          </w:tcPr>
          <w:p w:rsidR="002C3828" w:rsidRDefault="005D356D" w:rsidP="00F73D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has the status report been prepared? By the secretariat only or by i</w:t>
            </w:r>
            <w:r w:rsidR="00D8696B">
              <w:rPr>
                <w:sz w:val="24"/>
                <w:szCs w:val="24"/>
                <w:lang w:val="en-US"/>
              </w:rPr>
              <w:t>nvolving members in the network</w:t>
            </w:r>
            <w:r>
              <w:rPr>
                <w:sz w:val="24"/>
                <w:szCs w:val="24"/>
                <w:lang w:val="en-US"/>
              </w:rPr>
              <w:t xml:space="preserve"> / organization?</w:t>
            </w:r>
          </w:p>
        </w:tc>
      </w:tr>
      <w:tr w:rsidR="002C3828" w:rsidRPr="005D356D" w:rsidTr="002C3828">
        <w:tc>
          <w:tcPr>
            <w:tcW w:w="9628" w:type="dxa"/>
          </w:tcPr>
          <w:p w:rsidR="002C3828" w:rsidRDefault="008A2351" w:rsidP="00F73D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Other relevant information: </w:t>
            </w:r>
          </w:p>
        </w:tc>
      </w:tr>
      <w:tr w:rsidR="00523462" w:rsidRPr="00064070" w:rsidTr="00CB013F">
        <w:tc>
          <w:tcPr>
            <w:tcW w:w="9628" w:type="dxa"/>
            <w:shd w:val="clear" w:color="auto" w:fill="002060"/>
          </w:tcPr>
          <w:p w:rsidR="00523462" w:rsidRPr="00137869" w:rsidRDefault="00137869" w:rsidP="00137869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 w:rsidRPr="00137869">
              <w:rPr>
                <w:b/>
                <w:sz w:val="24"/>
                <w:szCs w:val="24"/>
                <w:lang w:val="en-US"/>
              </w:rPr>
              <w:t>THE NATIONAL ADAPTATION POLICY FRAMEWORK – MAXIMUM ONE PAGE</w:t>
            </w:r>
          </w:p>
        </w:tc>
      </w:tr>
      <w:tr w:rsidR="00523462" w:rsidRPr="00064070" w:rsidTr="002C3828">
        <w:tc>
          <w:tcPr>
            <w:tcW w:w="9628" w:type="dxa"/>
          </w:tcPr>
          <w:p w:rsidR="00523462" w:rsidRDefault="00523462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  <w:p w:rsidR="00CB013F" w:rsidRDefault="00CB013F" w:rsidP="00F73D6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C42AC" w:rsidRDefault="00CC42AC" w:rsidP="00CC42AC">
      <w:pPr>
        <w:rPr>
          <w:sz w:val="24"/>
          <w:szCs w:val="24"/>
          <w:lang w:val="en-US"/>
        </w:rPr>
        <w:sectPr w:rsidR="00CC42A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137869" w:rsidRPr="00137869" w:rsidRDefault="00137869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137869" w:rsidRPr="00064070" w:rsidTr="00137869">
        <w:tc>
          <w:tcPr>
            <w:tcW w:w="13426" w:type="dxa"/>
            <w:shd w:val="clear" w:color="auto" w:fill="002060"/>
          </w:tcPr>
          <w:p w:rsidR="00137869" w:rsidRPr="00137869" w:rsidRDefault="00137869" w:rsidP="00137869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137869">
              <w:rPr>
                <w:b/>
                <w:szCs w:val="20"/>
                <w:lang w:val="en-US"/>
              </w:rPr>
              <w:t>STATUS FOR EACH OF THE PRINCIPLES AND CRITERIA</w:t>
            </w:r>
          </w:p>
        </w:tc>
      </w:tr>
    </w:tbl>
    <w:p w:rsidR="00137869" w:rsidRPr="00137869" w:rsidRDefault="00137869">
      <w:pPr>
        <w:rPr>
          <w:lang w:val="en-US"/>
        </w:rPr>
      </w:pP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155"/>
        <w:gridCol w:w="3623"/>
        <w:gridCol w:w="5983"/>
        <w:gridCol w:w="1665"/>
      </w:tblGrid>
      <w:tr w:rsidR="001F1A31" w:rsidRPr="00CC42AC" w:rsidTr="00D8696B">
        <w:trPr>
          <w:tblHeader/>
        </w:trPr>
        <w:tc>
          <w:tcPr>
            <w:tcW w:w="2155" w:type="dxa"/>
            <w:shd w:val="clear" w:color="auto" w:fill="002060"/>
          </w:tcPr>
          <w:p w:rsidR="001F1A31" w:rsidRPr="00CC42AC" w:rsidRDefault="001F1A31" w:rsidP="00E90E08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PRINCIPLE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002060"/>
          </w:tcPr>
          <w:p w:rsidR="001F1A31" w:rsidRPr="001F1A31" w:rsidRDefault="001F1A31" w:rsidP="00E90E08">
            <w:pPr>
              <w:rPr>
                <w:b/>
                <w:szCs w:val="20"/>
                <w:lang w:val="en-US"/>
              </w:rPr>
            </w:pPr>
            <w:r w:rsidRPr="001F1A31">
              <w:rPr>
                <w:b/>
                <w:szCs w:val="20"/>
                <w:lang w:val="en-US"/>
              </w:rPr>
              <w:t>CRITERIA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002060"/>
          </w:tcPr>
          <w:p w:rsidR="001F1A31" w:rsidRPr="001F1A31" w:rsidRDefault="001F1A31" w:rsidP="00E90E08">
            <w:pPr>
              <w:rPr>
                <w:b/>
                <w:szCs w:val="20"/>
                <w:lang w:val="en-US"/>
              </w:rPr>
            </w:pPr>
            <w:r w:rsidRPr="001F1A31">
              <w:rPr>
                <w:b/>
                <w:szCs w:val="20"/>
                <w:lang w:val="en-US"/>
              </w:rPr>
              <w:t>STATUS / ASSESSMENT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002060"/>
          </w:tcPr>
          <w:p w:rsidR="001F1A31" w:rsidRPr="001F1A31" w:rsidRDefault="001F1A31" w:rsidP="00E90E08">
            <w:pPr>
              <w:rPr>
                <w:b/>
                <w:szCs w:val="20"/>
                <w:lang w:val="en-US"/>
              </w:rPr>
            </w:pPr>
            <w:r w:rsidRPr="001F1A31">
              <w:rPr>
                <w:b/>
                <w:szCs w:val="20"/>
                <w:lang w:val="en-US"/>
              </w:rPr>
              <w:t>RATING 0 - 3</w:t>
            </w:r>
          </w:p>
        </w:tc>
      </w:tr>
      <w:tr w:rsidR="001F1A31" w:rsidRPr="00064070" w:rsidTr="00D8696B">
        <w:tc>
          <w:tcPr>
            <w:tcW w:w="2155" w:type="dxa"/>
            <w:vMerge w:val="restart"/>
            <w:shd w:val="clear" w:color="auto" w:fill="D9D9D9" w:themeFill="background1" w:themeFillShade="D9"/>
          </w:tcPr>
          <w:p w:rsidR="00D8696B" w:rsidRPr="00D8696B" w:rsidRDefault="001F1A31" w:rsidP="00D8696B">
            <w:pPr>
              <w:rPr>
                <w:b/>
                <w:szCs w:val="20"/>
                <w:lang w:val="en-US"/>
              </w:rPr>
            </w:pPr>
            <w:r w:rsidRPr="00CC42AC">
              <w:rPr>
                <w:b/>
                <w:szCs w:val="20"/>
                <w:lang w:val="en-US"/>
              </w:rPr>
              <w:t xml:space="preserve">A. </w:t>
            </w:r>
            <w:r w:rsidR="00D8696B" w:rsidRPr="00D8696B">
              <w:rPr>
                <w:b/>
                <w:szCs w:val="20"/>
                <w:lang w:val="en-US"/>
              </w:rPr>
              <w:t>The formulation,</w:t>
            </w:r>
          </w:p>
          <w:p w:rsidR="00D8696B" w:rsidRPr="00D8696B" w:rsidRDefault="00D8696B" w:rsidP="00D8696B">
            <w:pPr>
              <w:rPr>
                <w:b/>
                <w:szCs w:val="20"/>
                <w:lang w:val="en-US"/>
              </w:rPr>
            </w:pPr>
            <w:r w:rsidRPr="00D8696B">
              <w:rPr>
                <w:b/>
                <w:szCs w:val="20"/>
                <w:lang w:val="en-US"/>
              </w:rPr>
              <w:t>implementation and</w:t>
            </w:r>
          </w:p>
          <w:p w:rsidR="001F1A31" w:rsidRPr="00D8696B" w:rsidRDefault="00D8696B" w:rsidP="00D8696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monitoring is participatory and </w:t>
            </w:r>
            <w:r w:rsidRPr="00D8696B">
              <w:rPr>
                <w:b/>
                <w:szCs w:val="20"/>
                <w:lang w:val="en-US"/>
              </w:rPr>
              <w:t>inclusive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1A31" w:rsidRPr="00D8696B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1. </w:t>
            </w:r>
            <w:r w:rsidR="00D8696B" w:rsidRPr="00D8696B">
              <w:rPr>
                <w:lang w:val="en-US"/>
              </w:rPr>
              <w:t>Multiple stakeholders (such as, but not limited to civil society, sub-national governments, research institutes, academia, private sector, and indigenous peoples) participate in defining options and priorities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D8696B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2. </w:t>
            </w:r>
            <w:r w:rsidR="00D8696B" w:rsidRPr="00D8696B">
              <w:rPr>
                <w:lang w:val="en-US"/>
              </w:rPr>
              <w:t>The knowledge and experience of local communities and indigenous peoples is incorporated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D8696B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3. </w:t>
            </w:r>
            <w:r w:rsidR="00D8696B" w:rsidRPr="00D8696B">
              <w:rPr>
                <w:lang w:val="en-US"/>
              </w:rPr>
              <w:t xml:space="preserve">Plans and policies are </w:t>
            </w:r>
            <w:proofErr w:type="spellStart"/>
            <w:r w:rsidR="00D8696B" w:rsidRPr="00D8696B">
              <w:rPr>
                <w:lang w:val="en-US"/>
              </w:rPr>
              <w:t>publicised</w:t>
            </w:r>
            <w:proofErr w:type="spellEnd"/>
            <w:r w:rsidR="00D8696B" w:rsidRPr="00D8696B">
              <w:rPr>
                <w:lang w:val="en-US"/>
              </w:rPr>
              <w:t xml:space="preserve"> in ways that local people can understand and engage with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 w:val="restart"/>
          </w:tcPr>
          <w:p w:rsidR="00D8696B" w:rsidRPr="00D8696B" w:rsidRDefault="001F1A31" w:rsidP="00D8696B">
            <w:pPr>
              <w:rPr>
                <w:b/>
                <w:szCs w:val="20"/>
                <w:lang w:val="en-US"/>
              </w:rPr>
            </w:pPr>
            <w:r w:rsidRPr="00CC42AC">
              <w:rPr>
                <w:b/>
                <w:szCs w:val="20"/>
                <w:lang w:val="en-US"/>
              </w:rPr>
              <w:t xml:space="preserve"> B. </w:t>
            </w:r>
            <w:r w:rsidR="00D8696B" w:rsidRPr="00D8696B">
              <w:rPr>
                <w:b/>
                <w:szCs w:val="20"/>
                <w:lang w:val="en-US"/>
              </w:rPr>
              <w:t>Public funds for</w:t>
            </w:r>
          </w:p>
          <w:p w:rsidR="001F1A31" w:rsidRPr="00D8696B" w:rsidRDefault="00D8696B" w:rsidP="00D8696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adaptation are utilized efficiently and managed transparently and with </w:t>
            </w:r>
            <w:r w:rsidRPr="00D8696B">
              <w:rPr>
                <w:b/>
                <w:szCs w:val="20"/>
                <w:lang w:val="en-US"/>
              </w:rPr>
              <w:t>integrity</w:t>
            </w:r>
          </w:p>
          <w:p w:rsidR="001F1A31" w:rsidRPr="00CC42AC" w:rsidRDefault="001F1A31" w:rsidP="00E90E08">
            <w:pPr>
              <w:ind w:left="360"/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1. The implementation and financing of plans is periodically monitored by a body on which civil society is represented 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452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2. Adaptation funding is made available through a transparent process of allocation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5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3. There is full and free access to information on how adaptation funds are being  spent (finances and processes)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4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4. There is a mechanism in place to safeguard against initiatives that might have negative impacts  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4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5. A secure mechanism for expressing grievances and seeking redress is available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 w:val="restart"/>
            <w:shd w:val="pct15" w:color="auto" w:fill="auto"/>
          </w:tcPr>
          <w:p w:rsidR="001F1A31" w:rsidRPr="00CC42AC" w:rsidRDefault="001F1A31" w:rsidP="00E90E08">
            <w:pPr>
              <w:rPr>
                <w:b/>
                <w:szCs w:val="20"/>
                <w:lang w:val="en-US"/>
              </w:rPr>
            </w:pPr>
            <w:r w:rsidRPr="00CC42AC">
              <w:rPr>
                <w:b/>
                <w:szCs w:val="20"/>
                <w:lang w:val="en-US"/>
              </w:rPr>
              <w:lastRenderedPageBreak/>
              <w:t xml:space="preserve">C. All government sectors and levels of administration have defined responsibilities and appropriate resources to fulfil them 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1. National adaptation plans carry the authority to enable different government sectors to  work in a coordinated way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2. Existing initiatives are enhanced to take climate change into account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D8696B" w:rsidRPr="00064070" w:rsidTr="00D8696B">
        <w:tc>
          <w:tcPr>
            <w:tcW w:w="2155" w:type="dxa"/>
            <w:vMerge/>
          </w:tcPr>
          <w:p w:rsidR="00D8696B" w:rsidRPr="00CC42AC" w:rsidRDefault="00D8696B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D8696B" w:rsidRPr="00CC42AC" w:rsidRDefault="00D8696B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3.Funding for adaptation is explicitly provided for within the national budget  and respective sectorial allocations</w:t>
            </w:r>
          </w:p>
        </w:tc>
        <w:tc>
          <w:tcPr>
            <w:tcW w:w="5983" w:type="dxa"/>
            <w:shd w:val="pct15" w:color="auto" w:fill="auto"/>
          </w:tcPr>
          <w:p w:rsidR="00D8696B" w:rsidRPr="00CC42AC" w:rsidRDefault="00D8696B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D8696B" w:rsidRPr="00CC42AC" w:rsidRDefault="00D8696B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D8696B" w:rsidRDefault="00D8696B" w:rsidP="00D8696B">
            <w:pPr>
              <w:rPr>
                <w:szCs w:val="20"/>
                <w:lang w:val="en-US"/>
              </w:rPr>
            </w:pPr>
            <w:r w:rsidRPr="00D8696B">
              <w:rPr>
                <w:szCs w:val="20"/>
                <w:lang w:val="en-US"/>
              </w:rPr>
              <w:t>4.</w:t>
            </w:r>
            <w:r>
              <w:rPr>
                <w:szCs w:val="20"/>
                <w:lang w:val="en-US"/>
              </w:rPr>
              <w:t xml:space="preserve"> </w:t>
            </w:r>
            <w:r w:rsidRPr="00D8696B">
              <w:rPr>
                <w:lang w:val="en-US"/>
              </w:rPr>
              <w:t>Local level adaptation plans are guided by mechanisms to ensure coherence with national adaptation policies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 w:val="restart"/>
          </w:tcPr>
          <w:p w:rsidR="001F1A31" w:rsidRPr="00D8696B" w:rsidRDefault="001F1A31" w:rsidP="00D8696B">
            <w:pPr>
              <w:rPr>
                <w:b/>
                <w:szCs w:val="20"/>
                <w:lang w:val="en-US"/>
              </w:rPr>
            </w:pPr>
            <w:r w:rsidRPr="00CC42AC">
              <w:rPr>
                <w:b/>
                <w:szCs w:val="20"/>
                <w:lang w:val="en-US"/>
              </w:rPr>
              <w:t xml:space="preserve">D. </w:t>
            </w:r>
            <w:r w:rsidR="00D8696B">
              <w:rPr>
                <w:b/>
                <w:szCs w:val="20"/>
                <w:lang w:val="en-US"/>
              </w:rPr>
              <w:t xml:space="preserve">Local adaptation plans are developed through approaches that build resilience of communities </w:t>
            </w:r>
            <w:r w:rsidR="00D8696B" w:rsidRPr="00D8696B">
              <w:rPr>
                <w:b/>
                <w:szCs w:val="20"/>
                <w:lang w:val="en-US"/>
              </w:rPr>
              <w:t xml:space="preserve">and ecosystems </w:t>
            </w:r>
          </w:p>
        </w:tc>
        <w:tc>
          <w:tcPr>
            <w:tcW w:w="3623" w:type="dxa"/>
          </w:tcPr>
          <w:p w:rsidR="001F1A31" w:rsidRPr="00D8696B" w:rsidRDefault="00D8696B" w:rsidP="00E90E0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1.</w:t>
            </w:r>
            <w:r w:rsidRPr="00D8696B">
              <w:rPr>
                <w:lang w:val="en-US"/>
              </w:rPr>
              <w:t xml:space="preserve"> Communities affected by climate change participate in defining adaptation options and priorities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</w:tcPr>
          <w:p w:rsidR="001F1A31" w:rsidRPr="00D8696B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2. </w:t>
            </w:r>
            <w:r w:rsidR="00D8696B">
              <w:rPr>
                <w:lang w:val="en-US"/>
              </w:rPr>
              <w:t xml:space="preserve">Local adaptation plans are </w:t>
            </w:r>
            <w:proofErr w:type="spellStart"/>
            <w:r w:rsidR="00D8696B" w:rsidRPr="00D8696B">
              <w:rPr>
                <w:lang w:val="en-US"/>
              </w:rPr>
              <w:t>formalised</w:t>
            </w:r>
            <w:proofErr w:type="spellEnd"/>
            <w:r w:rsidR="00D8696B" w:rsidRPr="00D8696B">
              <w:rPr>
                <w:lang w:val="en-US"/>
              </w:rPr>
              <w:t xml:space="preserve"> and integrated into the development priorities of local administrations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D8696B" w:rsidRPr="00D8696B" w:rsidTr="00D8696B"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D8696B" w:rsidRPr="00CC42AC" w:rsidRDefault="00D8696B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8696B" w:rsidRPr="00A64073" w:rsidRDefault="00A64073" w:rsidP="00A64073">
            <w:pPr>
              <w:rPr>
                <w:szCs w:val="20"/>
                <w:lang w:val="en-US"/>
              </w:rPr>
            </w:pPr>
            <w:r w:rsidRPr="00A64073">
              <w:rPr>
                <w:szCs w:val="20"/>
                <w:lang w:val="en-US"/>
              </w:rPr>
              <w:t>3.</w:t>
            </w:r>
            <w:r>
              <w:rPr>
                <w:szCs w:val="20"/>
                <w:lang w:val="en-US"/>
              </w:rPr>
              <w:t xml:space="preserve"> </w:t>
            </w:r>
            <w:r w:rsidR="00D8696B" w:rsidRPr="00A64073">
              <w:rPr>
                <w:szCs w:val="20"/>
                <w:lang w:val="en-US"/>
              </w:rPr>
              <w:t>Significant resources are allocated towards implementation of local</w:t>
            </w:r>
          </w:p>
          <w:p w:rsidR="00D8696B" w:rsidRPr="00CC42AC" w:rsidRDefault="00D8696B" w:rsidP="00D8696B">
            <w:pPr>
              <w:rPr>
                <w:szCs w:val="20"/>
                <w:lang w:val="en-US"/>
              </w:rPr>
            </w:pPr>
            <w:r w:rsidRPr="00D8696B">
              <w:rPr>
                <w:szCs w:val="20"/>
                <w:lang w:val="en-US"/>
              </w:rPr>
              <w:t>adaptation plans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D8696B" w:rsidRPr="00CC42AC" w:rsidRDefault="00D8696B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8696B" w:rsidRPr="00CC42AC" w:rsidRDefault="00D8696B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1F1A31" w:rsidRPr="00CC42AC" w:rsidRDefault="00D8696B" w:rsidP="00E90E0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  <w:r w:rsidR="001F1A31" w:rsidRPr="00CC42AC">
              <w:rPr>
                <w:szCs w:val="20"/>
                <w:lang w:val="en-US"/>
              </w:rPr>
              <w:t xml:space="preserve">. Financing arrangements make commitments for multi-year </w:t>
            </w:r>
            <w:proofErr w:type="spellStart"/>
            <w:r w:rsidR="001F1A31" w:rsidRPr="00CC42AC">
              <w:rPr>
                <w:szCs w:val="20"/>
                <w:lang w:val="en-US"/>
              </w:rPr>
              <w:t>programmes</w:t>
            </w:r>
            <w:proofErr w:type="spellEnd"/>
            <w:r w:rsidR="001F1A31" w:rsidRPr="00CC42AC">
              <w:rPr>
                <w:szCs w:val="20"/>
                <w:lang w:val="en-US"/>
              </w:rPr>
              <w:t xml:space="preserve"> of support to vulnerable communities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c>
          <w:tcPr>
            <w:tcW w:w="2155" w:type="dxa"/>
            <w:vMerge w:val="restart"/>
            <w:shd w:val="pct15" w:color="auto" w:fill="auto"/>
          </w:tcPr>
          <w:p w:rsidR="001F1A31" w:rsidRPr="00A64073" w:rsidRDefault="001F1A31" w:rsidP="00A64073">
            <w:pPr>
              <w:rPr>
                <w:b/>
                <w:szCs w:val="20"/>
                <w:lang w:val="en-US"/>
              </w:rPr>
            </w:pPr>
            <w:r w:rsidRPr="00CC42AC">
              <w:rPr>
                <w:b/>
                <w:szCs w:val="20"/>
                <w:lang w:val="en-US"/>
              </w:rPr>
              <w:t xml:space="preserve">E. </w:t>
            </w:r>
            <w:r w:rsidR="00A64073">
              <w:rPr>
                <w:b/>
                <w:szCs w:val="20"/>
                <w:lang w:val="en-US"/>
              </w:rPr>
              <w:t xml:space="preserve">The resilience of groups who are most vulnerable to climate change is </w:t>
            </w:r>
            <w:r w:rsidR="00A64073" w:rsidRPr="00A64073">
              <w:rPr>
                <w:b/>
                <w:szCs w:val="20"/>
                <w:lang w:val="en-US"/>
              </w:rPr>
              <w:t>promoted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pct15" w:color="auto" w:fill="auto"/>
          </w:tcPr>
          <w:p w:rsidR="001F1A31" w:rsidRPr="00A64073" w:rsidRDefault="001F1A31" w:rsidP="00A64073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1. </w:t>
            </w:r>
            <w:r w:rsidR="00A64073" w:rsidRPr="00A64073">
              <w:rPr>
                <w:szCs w:val="20"/>
                <w:lang w:val="en-US"/>
              </w:rPr>
              <w:t>Plans and policies address the issues affec</w:t>
            </w:r>
            <w:r w:rsidR="00A64073">
              <w:rPr>
                <w:szCs w:val="20"/>
                <w:lang w:val="en-US"/>
              </w:rPr>
              <w:t xml:space="preserve">ting different groups of women, </w:t>
            </w:r>
            <w:r w:rsidR="00A64073" w:rsidRPr="00A64073">
              <w:rPr>
                <w:szCs w:val="20"/>
                <w:lang w:val="en-US"/>
              </w:rPr>
              <w:t>men, boys and girls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333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A64073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2.</w:t>
            </w:r>
            <w:r w:rsidR="00A64073">
              <w:rPr>
                <w:szCs w:val="20"/>
                <w:lang w:val="en-US"/>
              </w:rPr>
              <w:t xml:space="preserve"> </w:t>
            </w:r>
            <w:r w:rsidR="00A64073" w:rsidRPr="00A64073">
              <w:rPr>
                <w:lang w:val="en-US"/>
              </w:rPr>
              <w:t xml:space="preserve">Groups of people who are vulnerable to social, cultural, economic and environmental </w:t>
            </w:r>
            <w:r w:rsidR="00A64073" w:rsidRPr="00A64073">
              <w:rPr>
                <w:lang w:val="en-US"/>
              </w:rPr>
              <w:lastRenderedPageBreak/>
              <w:t>conditions are identified and targeted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A64073" w:rsidRPr="00064070" w:rsidTr="00D8696B">
        <w:trPr>
          <w:trHeight w:val="333"/>
        </w:trPr>
        <w:tc>
          <w:tcPr>
            <w:tcW w:w="2155" w:type="dxa"/>
            <w:vMerge/>
          </w:tcPr>
          <w:p w:rsidR="00A64073" w:rsidRPr="00CC42AC" w:rsidRDefault="00A64073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A64073" w:rsidRPr="00CC42AC" w:rsidRDefault="00A64073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3. </w:t>
            </w:r>
            <w:r w:rsidRPr="00A64073">
              <w:rPr>
                <w:lang w:val="en-US"/>
              </w:rPr>
              <w:t>Initiatives take into account the differentiated needs and capacities of women and men in different age groups</w:t>
            </w:r>
          </w:p>
        </w:tc>
        <w:tc>
          <w:tcPr>
            <w:tcW w:w="5983" w:type="dxa"/>
            <w:shd w:val="pct15" w:color="auto" w:fill="auto"/>
          </w:tcPr>
          <w:p w:rsidR="00A64073" w:rsidRPr="00CC42AC" w:rsidRDefault="00A64073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A64073" w:rsidRPr="00CC42AC" w:rsidRDefault="00A64073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333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A64073" w:rsidDel="00C500DC" w:rsidRDefault="00A64073" w:rsidP="00A64073">
            <w:pPr>
              <w:rPr>
                <w:szCs w:val="20"/>
                <w:lang w:val="en-US"/>
              </w:rPr>
            </w:pPr>
            <w:r w:rsidRPr="00A64073">
              <w:rPr>
                <w:szCs w:val="20"/>
                <w:lang w:val="en-US"/>
              </w:rPr>
              <w:t>4.</w:t>
            </w:r>
            <w:r>
              <w:rPr>
                <w:szCs w:val="20"/>
                <w:lang w:val="en-US"/>
              </w:rPr>
              <w:t xml:space="preserve"> </w:t>
            </w:r>
            <w:r w:rsidRPr="00A64073">
              <w:rPr>
                <w:lang w:val="en-US"/>
              </w:rPr>
              <w:t>Initiatives promote greater social equity and cohesion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5"/>
        </w:trPr>
        <w:tc>
          <w:tcPr>
            <w:tcW w:w="2155" w:type="dxa"/>
            <w:vMerge w:val="restart"/>
          </w:tcPr>
          <w:p w:rsidR="001F1A31" w:rsidRPr="00A64073" w:rsidRDefault="001F1A31" w:rsidP="00A64073">
            <w:pPr>
              <w:rPr>
                <w:b/>
                <w:szCs w:val="20"/>
                <w:lang w:val="en-US"/>
              </w:rPr>
            </w:pPr>
            <w:r w:rsidRPr="00CC42AC">
              <w:rPr>
                <w:b/>
                <w:szCs w:val="20"/>
                <w:lang w:val="en-US"/>
              </w:rPr>
              <w:t xml:space="preserve">F. </w:t>
            </w:r>
            <w:r w:rsidR="00A64073">
              <w:rPr>
                <w:b/>
                <w:szCs w:val="20"/>
                <w:lang w:val="en-US"/>
              </w:rPr>
              <w:t xml:space="preserve">There is appropriate investment in the building of skills and capacities, as well as in physical </w:t>
            </w:r>
            <w:r w:rsidR="00A64073" w:rsidRPr="00A64073">
              <w:rPr>
                <w:b/>
                <w:szCs w:val="20"/>
                <w:lang w:val="en-US"/>
              </w:rPr>
              <w:t>infrastructure</w:t>
            </w:r>
          </w:p>
        </w:tc>
        <w:tc>
          <w:tcPr>
            <w:tcW w:w="362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 1.</w:t>
            </w:r>
            <w:r w:rsidR="00A64073">
              <w:rPr>
                <w:szCs w:val="20"/>
                <w:lang w:val="en-US"/>
              </w:rPr>
              <w:t xml:space="preserve"> </w:t>
            </w:r>
            <w:r w:rsidRPr="00CC42AC">
              <w:rPr>
                <w:szCs w:val="20"/>
                <w:lang w:val="en-US"/>
              </w:rPr>
              <w:t xml:space="preserve">Adequate resources are made available to improve the effectiveness of institutions responsible for managing climate change adaptation  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4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2. Adequate resources are made available for raising public awareness and education about climate change </w:t>
            </w:r>
          </w:p>
        </w:tc>
        <w:tc>
          <w:tcPr>
            <w:tcW w:w="5983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4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ind w:left="360"/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1F1A31" w:rsidRPr="00A64073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3. </w:t>
            </w:r>
            <w:r w:rsidR="00A64073" w:rsidRPr="00A64073">
              <w:rPr>
                <w:lang w:val="en-US"/>
              </w:rPr>
              <w:t>Investment plans contain targets for developing human capacities, natural capital, and physical infrastructure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5"/>
        </w:trPr>
        <w:tc>
          <w:tcPr>
            <w:tcW w:w="2155" w:type="dxa"/>
            <w:vMerge w:val="restart"/>
            <w:shd w:val="pct15" w:color="auto" w:fill="auto"/>
          </w:tcPr>
          <w:p w:rsidR="001F1A31" w:rsidRPr="00A64073" w:rsidRDefault="001F1A31" w:rsidP="00A64073">
            <w:pPr>
              <w:rPr>
                <w:b/>
                <w:szCs w:val="20"/>
                <w:lang w:val="en-US"/>
              </w:rPr>
            </w:pPr>
            <w:r w:rsidRPr="00CC42AC">
              <w:rPr>
                <w:b/>
                <w:szCs w:val="20"/>
                <w:lang w:val="en-US"/>
              </w:rPr>
              <w:t xml:space="preserve">G. </w:t>
            </w:r>
            <w:r w:rsidR="00A64073">
              <w:rPr>
                <w:b/>
                <w:szCs w:val="20"/>
                <w:lang w:val="en-US"/>
              </w:rPr>
              <w:t xml:space="preserve">Plans and policies respond to evidence of the current and future manifestations and impacts of climate </w:t>
            </w:r>
            <w:r w:rsidR="00A64073" w:rsidRPr="00A64073">
              <w:rPr>
                <w:b/>
                <w:szCs w:val="20"/>
                <w:lang w:val="en-US"/>
              </w:rPr>
              <w:t>change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1. Adaptation plans consider how climate is affecting existing vulnerabilities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294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A64073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 xml:space="preserve">2. </w:t>
            </w:r>
            <w:r w:rsidR="00A64073" w:rsidRPr="00A64073">
              <w:rPr>
                <w:lang w:val="en-US"/>
              </w:rPr>
              <w:t>Vulnerability and adaptation scenarios are based on the best available science and evidence from the ground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115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3. Interventions are modified as new information becomes available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  <w:tr w:rsidR="001F1A31" w:rsidRPr="00064070" w:rsidTr="00D8696B">
        <w:trPr>
          <w:trHeight w:val="115"/>
        </w:trPr>
        <w:tc>
          <w:tcPr>
            <w:tcW w:w="2155" w:type="dxa"/>
            <w:vMerge/>
          </w:tcPr>
          <w:p w:rsidR="001F1A31" w:rsidRPr="00CC42AC" w:rsidRDefault="001F1A31" w:rsidP="00E90E08">
            <w:pPr>
              <w:ind w:left="360"/>
              <w:rPr>
                <w:b/>
                <w:szCs w:val="20"/>
                <w:lang w:val="en-US"/>
              </w:rPr>
            </w:pPr>
          </w:p>
        </w:tc>
        <w:tc>
          <w:tcPr>
            <w:tcW w:w="362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  <w:r w:rsidRPr="00CC42AC">
              <w:rPr>
                <w:szCs w:val="20"/>
                <w:lang w:val="en-US"/>
              </w:rPr>
              <w:t>4. Climate information is made accessible to enable adaptive decision making by all stakeholders</w:t>
            </w:r>
          </w:p>
        </w:tc>
        <w:tc>
          <w:tcPr>
            <w:tcW w:w="5983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  <w:tc>
          <w:tcPr>
            <w:tcW w:w="1665" w:type="dxa"/>
            <w:shd w:val="pct15" w:color="auto" w:fill="auto"/>
          </w:tcPr>
          <w:p w:rsidR="001F1A31" w:rsidRPr="00CC42AC" w:rsidRDefault="001F1A31" w:rsidP="00E90E08">
            <w:pPr>
              <w:rPr>
                <w:szCs w:val="20"/>
                <w:lang w:val="en-US"/>
              </w:rPr>
            </w:pPr>
          </w:p>
        </w:tc>
      </w:tr>
    </w:tbl>
    <w:p w:rsidR="00CC42AC" w:rsidRPr="00CC42AC" w:rsidRDefault="00CC42AC" w:rsidP="00CC42AC">
      <w:pPr>
        <w:rPr>
          <w:i/>
          <w:lang w:val="en-US"/>
        </w:rPr>
      </w:pPr>
    </w:p>
    <w:p w:rsidR="00A53151" w:rsidRPr="00A53151" w:rsidRDefault="00A53151" w:rsidP="00A53151">
      <w:pPr>
        <w:rPr>
          <w:sz w:val="24"/>
          <w:szCs w:val="24"/>
          <w:lang w:val="en-US"/>
        </w:rPr>
      </w:pPr>
    </w:p>
    <w:p w:rsidR="007079FB" w:rsidRPr="00A64073" w:rsidRDefault="007079FB" w:rsidP="00A64073">
      <w:pPr>
        <w:rPr>
          <w:sz w:val="24"/>
          <w:szCs w:val="24"/>
          <w:lang w:val="en-US"/>
        </w:rPr>
      </w:pPr>
    </w:p>
    <w:sectPr w:rsidR="007079FB" w:rsidRPr="00A64073" w:rsidSect="00CC42A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D3" w:rsidRDefault="00577ED3" w:rsidP="007079FB">
      <w:pPr>
        <w:spacing w:after="0" w:line="240" w:lineRule="auto"/>
      </w:pPr>
      <w:r>
        <w:separator/>
      </w:r>
    </w:p>
  </w:endnote>
  <w:endnote w:type="continuationSeparator" w:id="0">
    <w:p w:rsidR="00577ED3" w:rsidRDefault="00577ED3" w:rsidP="0070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5B" w:rsidRDefault="00F4665B">
    <w:pPr>
      <w:pStyle w:val="Sidefod"/>
      <w:rPr>
        <w:lang w:val="en-US"/>
      </w:rPr>
    </w:pPr>
    <w:r w:rsidRPr="00F4665B">
      <w:rPr>
        <w:lang w:val="en-US"/>
      </w:rPr>
      <w:t xml:space="preserve">NATIONAL ADAPTATION STATUS REPORT – BASED ON </w:t>
    </w:r>
    <w:r w:rsidR="0085683B">
      <w:rPr>
        <w:lang w:val="en-US"/>
      </w:rPr>
      <w:t xml:space="preserve">THE </w:t>
    </w:r>
    <w:r w:rsidRPr="00F4665B">
      <w:rPr>
        <w:lang w:val="en-US"/>
      </w:rPr>
      <w:t>JOINT PRINCIPLES FOR ADAPTATION</w:t>
    </w:r>
    <w:r w:rsidR="00064070">
      <w:rPr>
        <w:lang w:val="en-US"/>
      </w:rPr>
      <w:t xml:space="preserve"> 2.0</w:t>
    </w:r>
  </w:p>
  <w:p w:rsidR="00064070" w:rsidRPr="00F4665B" w:rsidRDefault="00064070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D3" w:rsidRDefault="00577ED3" w:rsidP="007079FB">
      <w:pPr>
        <w:spacing w:after="0" w:line="240" w:lineRule="auto"/>
      </w:pPr>
      <w:r>
        <w:separator/>
      </w:r>
    </w:p>
  </w:footnote>
  <w:footnote w:type="continuationSeparator" w:id="0">
    <w:p w:rsidR="00577ED3" w:rsidRDefault="00577ED3" w:rsidP="0070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5B" w:rsidRPr="00F4665B" w:rsidRDefault="00F4665B">
    <w:pPr>
      <w:pStyle w:val="Sidehoved"/>
      <w:rPr>
        <w:sz w:val="28"/>
        <w:szCs w:val="28"/>
        <w:lang w:val="en-US"/>
      </w:rPr>
    </w:pPr>
    <w:r w:rsidRPr="00F4665B">
      <w:rPr>
        <w:sz w:val="28"/>
        <w:szCs w:val="28"/>
        <w:lang w:val="en-US"/>
      </w:rPr>
      <w:t>Southern Voices on Adaptation</w:t>
    </w:r>
    <w:r w:rsidR="00112E64">
      <w:rPr>
        <w:sz w:val="28"/>
        <w:szCs w:val="28"/>
        <w:lang w:val="en-US"/>
      </w:rPr>
      <w:t xml:space="preserve">                                                   </w:t>
    </w:r>
    <w:hyperlink r:id="rId1" w:history="1">
      <w:r w:rsidR="00112E64" w:rsidRPr="00112E64">
        <w:rPr>
          <w:rStyle w:val="Hyperlink"/>
          <w:sz w:val="28"/>
          <w:szCs w:val="28"/>
          <w:lang w:val="en-US"/>
        </w:rPr>
        <w:t>www.southernvoices.net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89C"/>
    <w:multiLevelType w:val="hybridMultilevel"/>
    <w:tmpl w:val="94D2B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71A"/>
    <w:multiLevelType w:val="hybridMultilevel"/>
    <w:tmpl w:val="42A08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45774"/>
    <w:multiLevelType w:val="hybridMultilevel"/>
    <w:tmpl w:val="8116CC5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B"/>
    <w:rsid w:val="00064070"/>
    <w:rsid w:val="000C10E8"/>
    <w:rsid w:val="00112E64"/>
    <w:rsid w:val="00137869"/>
    <w:rsid w:val="001569B7"/>
    <w:rsid w:val="001F1A31"/>
    <w:rsid w:val="002C3828"/>
    <w:rsid w:val="00487D47"/>
    <w:rsid w:val="0052107C"/>
    <w:rsid w:val="00523462"/>
    <w:rsid w:val="00577ED3"/>
    <w:rsid w:val="005D356D"/>
    <w:rsid w:val="007060A9"/>
    <w:rsid w:val="007079FB"/>
    <w:rsid w:val="0085683B"/>
    <w:rsid w:val="008A2351"/>
    <w:rsid w:val="009B0092"/>
    <w:rsid w:val="00A36B18"/>
    <w:rsid w:val="00A53151"/>
    <w:rsid w:val="00A64073"/>
    <w:rsid w:val="00A73EEA"/>
    <w:rsid w:val="00CB013F"/>
    <w:rsid w:val="00CC42AC"/>
    <w:rsid w:val="00D8696B"/>
    <w:rsid w:val="00DA11EA"/>
    <w:rsid w:val="00DC4BE3"/>
    <w:rsid w:val="00E84ECF"/>
    <w:rsid w:val="00ED2536"/>
    <w:rsid w:val="00EE1AAA"/>
    <w:rsid w:val="00F4665B"/>
    <w:rsid w:val="00F73D63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91DE8-4967-4EAA-9DBF-498A7330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7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79FB"/>
  </w:style>
  <w:style w:type="paragraph" w:styleId="Sidefod">
    <w:name w:val="footer"/>
    <w:basedOn w:val="Normal"/>
    <w:link w:val="SidefodTegn"/>
    <w:uiPriority w:val="99"/>
    <w:unhideWhenUsed/>
    <w:rsid w:val="00707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79FB"/>
  </w:style>
  <w:style w:type="paragraph" w:styleId="Listeafsnit">
    <w:name w:val="List Paragraph"/>
    <w:basedOn w:val="Normal"/>
    <w:uiPriority w:val="34"/>
    <w:qFormat/>
    <w:rsid w:val="007079FB"/>
    <w:pPr>
      <w:ind w:left="720"/>
      <w:contextualSpacing/>
    </w:pPr>
  </w:style>
  <w:style w:type="table" w:styleId="Tabel-Gitter">
    <w:name w:val="Table Grid"/>
    <w:basedOn w:val="Tabel-Normal"/>
    <w:uiPriority w:val="59"/>
    <w:rsid w:val="002C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1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with\Dropbox\SVoicesAdaptation2014-15\PrepSVAtemplates\NASReport\www.southernvoices.ne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CA42-A9F6-435E-8D61-C9698412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 Danmark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With</dc:creator>
  <cp:lastModifiedBy>Peter With</cp:lastModifiedBy>
  <cp:revision>2</cp:revision>
  <dcterms:created xsi:type="dcterms:W3CDTF">2015-07-24T15:27:00Z</dcterms:created>
  <dcterms:modified xsi:type="dcterms:W3CDTF">2015-07-24T15:27:00Z</dcterms:modified>
</cp:coreProperties>
</file>